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Recruitment methods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Highly intrusive methods: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Telephone calls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Direct video calls to specific individuals using things like  Skype, Zoom, or Teams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Instant messaging platforms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WhatsApp or text message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Approaching people on the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 intrusive methods: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Posters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Flyers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Leaflets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Social media posts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Emails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Letter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