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2E77" w14:textId="5AA12D17" w:rsidR="001E0C45" w:rsidRPr="00506C8D" w:rsidRDefault="00C94BAC">
      <w:r w:rsidRPr="00506C8D">
        <w:t xml:space="preserve">My Learning Essentials </w:t>
      </w:r>
    </w:p>
    <w:p w14:paraId="7B0314F7" w14:textId="4568DEF6" w:rsidR="001E0C45" w:rsidRPr="008D2062" w:rsidRDefault="00C94BAC">
      <w:pPr>
        <w:jc w:val="left"/>
        <w:rPr>
          <w:color w:val="000000" w:themeColor="text1"/>
        </w:rPr>
      </w:pPr>
      <w:r w:rsidRPr="008D2062">
        <w:rPr>
          <w:b w:val="0"/>
          <w:color w:val="000000" w:themeColor="text1"/>
          <w:sz w:val="22"/>
          <w:szCs w:val="22"/>
        </w:rPr>
        <w:t xml:space="preserve">  </w:t>
      </w:r>
    </w:p>
    <w:tbl>
      <w:tblPr>
        <w:tblStyle w:val="a"/>
        <w:tblW w:w="16020" w:type="dxa"/>
        <w:tblInd w:w="-480" w:type="dxa"/>
        <w:tblLayout w:type="fixed"/>
        <w:tblLook w:val="0400" w:firstRow="0" w:lastRow="0" w:firstColumn="0" w:lastColumn="0" w:noHBand="0" w:noVBand="1"/>
      </w:tblPr>
      <w:tblGrid>
        <w:gridCol w:w="5605"/>
        <w:gridCol w:w="5094"/>
        <w:gridCol w:w="5321"/>
      </w:tblGrid>
      <w:tr w:rsidR="008D2062" w:rsidRPr="008D2062" w14:paraId="34B9E5CB" w14:textId="77777777" w:rsidTr="00506C8D">
        <w:trPr>
          <w:trHeight w:val="540"/>
        </w:trPr>
        <w:tc>
          <w:tcPr>
            <w:tcW w:w="5605" w:type="dxa"/>
            <w:tcBorders>
              <w:top w:val="single" w:sz="24" w:space="0" w:color="8100A2"/>
              <w:left w:val="single" w:sz="24" w:space="0" w:color="8100A2"/>
              <w:bottom w:val="single" w:sz="24" w:space="0" w:color="8100A2"/>
              <w:right w:val="single" w:sz="24" w:space="0" w:color="8100A2"/>
            </w:tcBorders>
            <w:shd w:val="clear" w:color="auto" w:fill="F2F2F2"/>
            <w:vAlign w:val="center"/>
          </w:tcPr>
          <w:p w14:paraId="404845E9" w14:textId="77777777" w:rsidR="001E0C45" w:rsidRPr="008D2062" w:rsidRDefault="00C94BAC">
            <w:pPr>
              <w:ind w:right="17"/>
              <w:jc w:val="center"/>
              <w:rPr>
                <w:color w:val="000000" w:themeColor="text1"/>
                <w:sz w:val="48"/>
                <w:szCs w:val="48"/>
              </w:rPr>
            </w:pPr>
            <w:r w:rsidRPr="008D2062">
              <w:rPr>
                <w:color w:val="000000" w:themeColor="text1"/>
                <w:sz w:val="48"/>
                <w:szCs w:val="48"/>
              </w:rPr>
              <w:t xml:space="preserve">K </w:t>
            </w:r>
          </w:p>
        </w:tc>
        <w:tc>
          <w:tcPr>
            <w:tcW w:w="5094" w:type="dxa"/>
            <w:tcBorders>
              <w:top w:val="single" w:sz="24" w:space="0" w:color="8100A2"/>
              <w:left w:val="single" w:sz="24" w:space="0" w:color="8100A2"/>
              <w:bottom w:val="single" w:sz="24" w:space="0" w:color="8100A2"/>
              <w:right w:val="single" w:sz="24" w:space="0" w:color="8100A2"/>
            </w:tcBorders>
            <w:shd w:val="clear" w:color="auto" w:fill="F2F2F2"/>
            <w:vAlign w:val="center"/>
          </w:tcPr>
          <w:p w14:paraId="2FAED0FD" w14:textId="77777777" w:rsidR="001E0C45" w:rsidRPr="008D2062" w:rsidRDefault="00C94BAC">
            <w:pPr>
              <w:ind w:right="11"/>
              <w:jc w:val="center"/>
              <w:rPr>
                <w:color w:val="000000" w:themeColor="text1"/>
                <w:sz w:val="48"/>
                <w:szCs w:val="48"/>
              </w:rPr>
            </w:pPr>
            <w:r w:rsidRPr="008D2062">
              <w:rPr>
                <w:color w:val="000000" w:themeColor="text1"/>
                <w:sz w:val="48"/>
                <w:szCs w:val="48"/>
              </w:rPr>
              <w:t xml:space="preserve">W </w:t>
            </w:r>
          </w:p>
        </w:tc>
        <w:tc>
          <w:tcPr>
            <w:tcW w:w="5321" w:type="dxa"/>
            <w:tcBorders>
              <w:top w:val="single" w:sz="24" w:space="0" w:color="8100A2"/>
              <w:left w:val="single" w:sz="24" w:space="0" w:color="8100A2"/>
              <w:bottom w:val="single" w:sz="24" w:space="0" w:color="8100A2"/>
              <w:right w:val="single" w:sz="24" w:space="0" w:color="7030A0"/>
            </w:tcBorders>
            <w:shd w:val="clear" w:color="auto" w:fill="F2F2F2"/>
            <w:vAlign w:val="center"/>
          </w:tcPr>
          <w:p w14:paraId="60944F7A" w14:textId="77777777" w:rsidR="001E0C45" w:rsidRPr="008D2062" w:rsidRDefault="00C94BAC">
            <w:pPr>
              <w:ind w:right="7"/>
              <w:jc w:val="center"/>
              <w:rPr>
                <w:color w:val="000000" w:themeColor="text1"/>
                <w:sz w:val="48"/>
                <w:szCs w:val="48"/>
              </w:rPr>
            </w:pPr>
            <w:r w:rsidRPr="008D2062">
              <w:rPr>
                <w:color w:val="000000" w:themeColor="text1"/>
                <w:sz w:val="48"/>
                <w:szCs w:val="48"/>
              </w:rPr>
              <w:t xml:space="preserve">L </w:t>
            </w:r>
          </w:p>
        </w:tc>
      </w:tr>
      <w:tr w:rsidR="008D2062" w:rsidRPr="008D2062" w14:paraId="41E99816" w14:textId="77777777" w:rsidTr="00506C8D">
        <w:trPr>
          <w:trHeight w:val="432"/>
        </w:trPr>
        <w:tc>
          <w:tcPr>
            <w:tcW w:w="5605" w:type="dxa"/>
            <w:tcBorders>
              <w:top w:val="single" w:sz="24" w:space="0" w:color="8100A2"/>
              <w:left w:val="single" w:sz="24" w:space="0" w:color="8100A2"/>
              <w:bottom w:val="single" w:sz="24" w:space="0" w:color="8100A2"/>
              <w:right w:val="single" w:sz="24" w:space="0" w:color="8100A2"/>
            </w:tcBorders>
            <w:shd w:val="clear" w:color="auto" w:fill="F2F2F2"/>
          </w:tcPr>
          <w:p w14:paraId="5AB17ADB" w14:textId="77777777" w:rsidR="001E0C45" w:rsidRPr="00506C8D" w:rsidRDefault="00C94BAC">
            <w:pPr>
              <w:ind w:right="9"/>
              <w:jc w:val="center"/>
              <w:rPr>
                <w:color w:val="000000" w:themeColor="text1"/>
              </w:rPr>
            </w:pPr>
            <w:r w:rsidRPr="00506C8D">
              <w:rPr>
                <w:b w:val="0"/>
                <w:color w:val="000000" w:themeColor="text1"/>
              </w:rPr>
              <w:t xml:space="preserve">What do you </w:t>
            </w:r>
            <w:r w:rsidRPr="00506C8D">
              <w:rPr>
                <w:color w:val="000000" w:themeColor="text1"/>
              </w:rPr>
              <w:t>know?</w:t>
            </w:r>
            <w:r w:rsidRPr="00506C8D">
              <w:rPr>
                <w:b w:val="0"/>
                <w:color w:val="000000" w:themeColor="text1"/>
              </w:rPr>
              <w:t xml:space="preserve"> </w:t>
            </w:r>
          </w:p>
        </w:tc>
        <w:tc>
          <w:tcPr>
            <w:tcW w:w="5094" w:type="dxa"/>
            <w:tcBorders>
              <w:top w:val="single" w:sz="24" w:space="0" w:color="8100A2"/>
              <w:left w:val="single" w:sz="24" w:space="0" w:color="8100A2"/>
              <w:bottom w:val="single" w:sz="24" w:space="0" w:color="8100A2"/>
              <w:right w:val="single" w:sz="24" w:space="0" w:color="8100A2"/>
            </w:tcBorders>
            <w:shd w:val="clear" w:color="auto" w:fill="F2F2F2"/>
          </w:tcPr>
          <w:p w14:paraId="65C302CA" w14:textId="77777777" w:rsidR="001E0C45" w:rsidRPr="00506C8D" w:rsidRDefault="00C94BAC">
            <w:pPr>
              <w:jc w:val="center"/>
              <w:rPr>
                <w:color w:val="000000" w:themeColor="text1"/>
              </w:rPr>
            </w:pPr>
            <w:r w:rsidRPr="00506C8D">
              <w:rPr>
                <w:b w:val="0"/>
                <w:color w:val="000000" w:themeColor="text1"/>
              </w:rPr>
              <w:t xml:space="preserve">What do you </w:t>
            </w:r>
            <w:r w:rsidRPr="00506C8D">
              <w:rPr>
                <w:color w:val="000000" w:themeColor="text1"/>
              </w:rPr>
              <w:t xml:space="preserve">want </w:t>
            </w:r>
            <w:r w:rsidRPr="00506C8D">
              <w:rPr>
                <w:b w:val="0"/>
                <w:color w:val="000000" w:themeColor="text1"/>
              </w:rPr>
              <w:t xml:space="preserve">to know? </w:t>
            </w:r>
          </w:p>
        </w:tc>
        <w:tc>
          <w:tcPr>
            <w:tcW w:w="5321" w:type="dxa"/>
            <w:tcBorders>
              <w:top w:val="single" w:sz="24" w:space="0" w:color="8100A2"/>
              <w:left w:val="single" w:sz="24" w:space="0" w:color="8100A2"/>
              <w:bottom w:val="single" w:sz="24" w:space="0" w:color="8100A2"/>
              <w:right w:val="single" w:sz="24" w:space="0" w:color="8100A2"/>
            </w:tcBorders>
            <w:shd w:val="clear" w:color="auto" w:fill="F2F2F2"/>
          </w:tcPr>
          <w:p w14:paraId="054EFA6B" w14:textId="77777777" w:rsidR="001E0C45" w:rsidRPr="00506C8D" w:rsidRDefault="00C94BAC">
            <w:pPr>
              <w:ind w:left="107"/>
              <w:jc w:val="both"/>
              <w:rPr>
                <w:color w:val="000000" w:themeColor="text1"/>
              </w:rPr>
            </w:pPr>
            <w:r w:rsidRPr="00506C8D">
              <w:rPr>
                <w:b w:val="0"/>
                <w:color w:val="000000" w:themeColor="text1"/>
              </w:rPr>
              <w:t xml:space="preserve">What have you </w:t>
            </w:r>
            <w:r w:rsidRPr="00506C8D">
              <w:rPr>
                <w:color w:val="000000" w:themeColor="text1"/>
              </w:rPr>
              <w:t xml:space="preserve">learned? </w:t>
            </w:r>
          </w:p>
        </w:tc>
      </w:tr>
      <w:tr w:rsidR="008D2062" w:rsidRPr="008D2062" w14:paraId="48CC3634" w14:textId="77777777" w:rsidTr="00506C8D">
        <w:trPr>
          <w:trHeight w:val="7497"/>
        </w:trPr>
        <w:tc>
          <w:tcPr>
            <w:tcW w:w="5605" w:type="dxa"/>
            <w:tcBorders>
              <w:top w:val="single" w:sz="24" w:space="0" w:color="8100A2"/>
              <w:left w:val="single" w:sz="24" w:space="0" w:color="8100A2"/>
              <w:bottom w:val="single" w:sz="24" w:space="0" w:color="8100A2"/>
              <w:right w:val="single" w:sz="24" w:space="0" w:color="8100A2"/>
            </w:tcBorders>
            <w:shd w:val="clear" w:color="auto" w:fill="F2F2F2"/>
          </w:tcPr>
          <w:p w14:paraId="784150E3" w14:textId="13D3E514" w:rsidR="00506C8D" w:rsidRPr="00506C8D" w:rsidRDefault="008D2062" w:rsidP="00506C8D">
            <w:pPr>
              <w:pStyle w:val="ListParagraph"/>
              <w:numPr>
                <w:ilvl w:val="0"/>
                <w:numId w:val="11"/>
              </w:numPr>
              <w:spacing w:after="240"/>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In Japan, people combine religions and religious activities based on what seems most effective.</w:t>
            </w:r>
          </w:p>
          <w:p w14:paraId="4307EA2F" w14:textId="77777777" w:rsidR="00506C8D" w:rsidRPr="00506C8D" w:rsidRDefault="00506C8D" w:rsidP="00506C8D">
            <w:pPr>
              <w:pStyle w:val="ListParagraph"/>
              <w:spacing w:after="240"/>
              <w:ind w:left="360"/>
              <w:jc w:val="left"/>
              <w:rPr>
                <w:rFonts w:ascii="Arial" w:eastAsia="Arial" w:hAnsi="Arial" w:cs="Arial"/>
                <w:b w:val="0"/>
                <w:color w:val="000000" w:themeColor="text1"/>
                <w:sz w:val="24"/>
                <w:szCs w:val="24"/>
              </w:rPr>
            </w:pPr>
          </w:p>
          <w:p w14:paraId="0777241C" w14:textId="24B8418F" w:rsidR="00506C8D" w:rsidRPr="00506C8D" w:rsidRDefault="008D2062" w:rsidP="00506C8D">
            <w:pPr>
              <w:pStyle w:val="ListParagraph"/>
              <w:numPr>
                <w:ilvl w:val="0"/>
                <w:numId w:val="5"/>
              </w:numPr>
              <w:spacing w:before="240" w:after="240"/>
              <w:jc w:val="left"/>
              <w:rPr>
                <w:rFonts w:ascii="Arial" w:eastAsia="Arial" w:hAnsi="Arial" w:cs="Arial"/>
                <w:b w:val="0"/>
                <w:color w:val="000000" w:themeColor="text1"/>
                <w:sz w:val="24"/>
                <w:szCs w:val="24"/>
              </w:rPr>
            </w:pPr>
            <w:r w:rsidRPr="008D2062">
              <w:rPr>
                <w:rFonts w:ascii="Arial" w:eastAsia="Arial" w:hAnsi="Arial" w:cs="Arial"/>
                <w:b w:val="0"/>
                <w:color w:val="000000" w:themeColor="text1"/>
                <w:sz w:val="24"/>
                <w:szCs w:val="24"/>
              </w:rPr>
              <w:t>Buddhism is established in Japan because it</w:t>
            </w:r>
            <w:r>
              <w:rPr>
                <w:rFonts w:ascii="Arial" w:eastAsia="Arial" w:hAnsi="Arial" w:cs="Arial"/>
                <w:b w:val="0"/>
                <w:color w:val="000000" w:themeColor="text1"/>
                <w:sz w:val="24"/>
                <w:szCs w:val="24"/>
              </w:rPr>
              <w:t xml:space="preserve"> </w:t>
            </w:r>
            <w:r w:rsidRPr="008D2062">
              <w:rPr>
                <w:rFonts w:ascii="Arial" w:eastAsia="Arial" w:hAnsi="Arial" w:cs="Arial"/>
                <w:b w:val="0"/>
                <w:color w:val="000000" w:themeColor="text1"/>
                <w:sz w:val="24"/>
                <w:szCs w:val="24"/>
              </w:rPr>
              <w:t>was considered impressive and effective as it</w:t>
            </w:r>
            <w:r>
              <w:rPr>
                <w:rFonts w:ascii="Arial" w:eastAsia="Arial" w:hAnsi="Arial" w:cs="Arial"/>
                <w:b w:val="0"/>
                <w:color w:val="000000" w:themeColor="text1"/>
                <w:sz w:val="24"/>
                <w:szCs w:val="24"/>
              </w:rPr>
              <w:t xml:space="preserve"> </w:t>
            </w:r>
            <w:r w:rsidRPr="008D2062">
              <w:rPr>
                <w:rFonts w:ascii="Arial" w:eastAsia="Arial" w:hAnsi="Arial" w:cs="Arial"/>
                <w:b w:val="0"/>
                <w:color w:val="000000" w:themeColor="text1"/>
                <w:sz w:val="24"/>
                <w:szCs w:val="24"/>
              </w:rPr>
              <w:t>came with rich iconography and history.</w:t>
            </w:r>
          </w:p>
          <w:p w14:paraId="19A9316E" w14:textId="77777777" w:rsidR="00506C8D" w:rsidRPr="00506C8D" w:rsidRDefault="00506C8D" w:rsidP="00506C8D">
            <w:pPr>
              <w:pStyle w:val="ListParagraph"/>
              <w:rPr>
                <w:rFonts w:ascii="Arial" w:eastAsia="Arial" w:hAnsi="Arial" w:cs="Arial"/>
                <w:b w:val="0"/>
                <w:color w:val="000000" w:themeColor="text1"/>
                <w:sz w:val="24"/>
                <w:szCs w:val="24"/>
              </w:rPr>
            </w:pPr>
          </w:p>
          <w:p w14:paraId="18608A10" w14:textId="77777777" w:rsidR="00506C8D" w:rsidRDefault="008D2062" w:rsidP="00506C8D">
            <w:pPr>
              <w:pStyle w:val="ListParagraph"/>
              <w:numPr>
                <w:ilvl w:val="0"/>
                <w:numId w:val="7"/>
              </w:numPr>
              <w:spacing w:before="240"/>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 xml:space="preserve">People visit </w:t>
            </w:r>
            <w:proofErr w:type="spellStart"/>
            <w:r w:rsidRPr="00506C8D">
              <w:rPr>
                <w:rFonts w:ascii="Arial" w:eastAsia="Arial" w:hAnsi="Arial" w:cs="Arial"/>
                <w:b w:val="0"/>
                <w:color w:val="000000" w:themeColor="text1"/>
                <w:sz w:val="24"/>
                <w:szCs w:val="24"/>
              </w:rPr>
              <w:t>Shintō</w:t>
            </w:r>
            <w:proofErr w:type="spellEnd"/>
            <w:r w:rsidRPr="00506C8D">
              <w:rPr>
                <w:rFonts w:ascii="Arial" w:eastAsia="Arial" w:hAnsi="Arial" w:cs="Arial"/>
                <w:b w:val="0"/>
                <w:color w:val="000000" w:themeColor="text1"/>
                <w:sz w:val="24"/>
                <w:szCs w:val="24"/>
              </w:rPr>
              <w:t xml:space="preserve"> shrines when babies are born, marry in Christian ceremonies, and have Buddhist funerals: non-exclusivity of faith is culturally normal.</w:t>
            </w:r>
          </w:p>
          <w:p w14:paraId="06BD33FA" w14:textId="77777777" w:rsidR="00506C8D" w:rsidRDefault="00506C8D" w:rsidP="00506C8D">
            <w:pPr>
              <w:pStyle w:val="ListParagraph"/>
              <w:spacing w:before="240"/>
              <w:ind w:left="360"/>
              <w:jc w:val="left"/>
              <w:rPr>
                <w:rFonts w:ascii="Arial" w:eastAsia="Arial" w:hAnsi="Arial" w:cs="Arial"/>
                <w:b w:val="0"/>
                <w:color w:val="000000" w:themeColor="text1"/>
                <w:sz w:val="24"/>
                <w:szCs w:val="24"/>
              </w:rPr>
            </w:pPr>
          </w:p>
          <w:p w14:paraId="00FA9F1D" w14:textId="5F9F8BA5" w:rsidR="00506C8D" w:rsidRPr="00506C8D" w:rsidRDefault="008D2062" w:rsidP="00506C8D">
            <w:pPr>
              <w:pStyle w:val="ListParagraph"/>
              <w:numPr>
                <w:ilvl w:val="0"/>
                <w:numId w:val="7"/>
              </w:numPr>
              <w:spacing w:before="240"/>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 xml:space="preserve">‘New religions’ and ‘New </w:t>
            </w:r>
            <w:proofErr w:type="spellStart"/>
            <w:r w:rsidRPr="00506C8D">
              <w:rPr>
                <w:rFonts w:ascii="Arial" w:eastAsia="Arial" w:hAnsi="Arial" w:cs="Arial"/>
                <w:b w:val="0"/>
                <w:color w:val="000000" w:themeColor="text1"/>
                <w:sz w:val="24"/>
                <w:szCs w:val="24"/>
              </w:rPr>
              <w:t>New</w:t>
            </w:r>
            <w:proofErr w:type="spellEnd"/>
            <w:r w:rsidRPr="00506C8D">
              <w:rPr>
                <w:rFonts w:ascii="Arial" w:eastAsia="Arial" w:hAnsi="Arial" w:cs="Arial"/>
                <w:b w:val="0"/>
                <w:color w:val="000000" w:themeColor="text1"/>
                <w:sz w:val="24"/>
                <w:szCs w:val="24"/>
              </w:rPr>
              <w:t xml:space="preserve"> Religions’ are new faiths with numerous adherents, mixing ideas from spirituality and established faiths, and focused on practical gains like healing.</w:t>
            </w:r>
          </w:p>
          <w:p w14:paraId="0B42862F" w14:textId="77777777" w:rsidR="00506C8D" w:rsidRPr="00506C8D" w:rsidRDefault="00506C8D" w:rsidP="00506C8D">
            <w:pPr>
              <w:pStyle w:val="ListParagraph"/>
              <w:rPr>
                <w:rFonts w:ascii="Arial" w:eastAsia="Arial" w:hAnsi="Arial" w:cs="Arial"/>
                <w:b w:val="0"/>
                <w:color w:val="000000" w:themeColor="text1"/>
                <w:sz w:val="24"/>
                <w:szCs w:val="24"/>
              </w:rPr>
            </w:pPr>
          </w:p>
          <w:p w14:paraId="3382C612" w14:textId="12F6A9B7" w:rsidR="008D2062" w:rsidRPr="00506C8D" w:rsidRDefault="008D2062" w:rsidP="00506C8D">
            <w:pPr>
              <w:pStyle w:val="ListParagraph"/>
              <w:numPr>
                <w:ilvl w:val="0"/>
                <w:numId w:val="7"/>
              </w:numPr>
              <w:spacing w:after="240"/>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 xml:space="preserve">Up to 95% of the population visit </w:t>
            </w:r>
            <w:proofErr w:type="spellStart"/>
            <w:r w:rsidRPr="00506C8D">
              <w:rPr>
                <w:rFonts w:ascii="Arial" w:eastAsia="Arial" w:hAnsi="Arial" w:cs="Arial"/>
                <w:b w:val="0"/>
                <w:color w:val="000000" w:themeColor="text1"/>
                <w:sz w:val="24"/>
                <w:szCs w:val="24"/>
              </w:rPr>
              <w:t>Shintō</w:t>
            </w:r>
            <w:proofErr w:type="spellEnd"/>
            <w:r w:rsidRPr="00506C8D">
              <w:rPr>
                <w:rFonts w:ascii="Arial" w:eastAsia="Arial" w:hAnsi="Arial" w:cs="Arial"/>
                <w:b w:val="0"/>
                <w:color w:val="000000" w:themeColor="text1"/>
                <w:sz w:val="24"/>
                <w:szCs w:val="24"/>
              </w:rPr>
              <w:t xml:space="preserve"> shrines at New Year, and families assigned to Buddhist temples exceed Japan’s population, implying a high level of religious observance.</w:t>
            </w:r>
          </w:p>
          <w:p w14:paraId="388B13F3" w14:textId="77777777" w:rsidR="00506C8D" w:rsidRPr="00506C8D" w:rsidRDefault="00506C8D" w:rsidP="00506C8D">
            <w:pPr>
              <w:pStyle w:val="ListParagraph"/>
              <w:rPr>
                <w:rFonts w:ascii="Arial" w:eastAsia="Arial" w:hAnsi="Arial" w:cs="Arial"/>
                <w:b w:val="0"/>
                <w:color w:val="000000" w:themeColor="text1"/>
                <w:sz w:val="24"/>
                <w:szCs w:val="24"/>
              </w:rPr>
            </w:pPr>
          </w:p>
          <w:p w14:paraId="716C964E" w14:textId="3BD889B0" w:rsidR="001E0C45" w:rsidRPr="00506C8D" w:rsidRDefault="008D2062" w:rsidP="00506C8D">
            <w:pPr>
              <w:pStyle w:val="ListParagraph"/>
              <w:numPr>
                <w:ilvl w:val="0"/>
                <w:numId w:val="7"/>
              </w:numPr>
              <w:spacing w:after="240"/>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Despite this, most people describe themselves as ‘not religious’ in surveys, implying religious adherence is opt-in, opt-out depending on the circumstances, and people may carry out more religious behaviour when they feel they need help.</w:t>
            </w:r>
          </w:p>
        </w:tc>
        <w:tc>
          <w:tcPr>
            <w:tcW w:w="5094" w:type="dxa"/>
            <w:tcBorders>
              <w:top w:val="single" w:sz="24" w:space="0" w:color="8100A2"/>
              <w:left w:val="single" w:sz="24" w:space="0" w:color="8100A2"/>
              <w:bottom w:val="single" w:sz="24" w:space="0" w:color="8100A2"/>
              <w:right w:val="single" w:sz="24" w:space="0" w:color="8100A2"/>
            </w:tcBorders>
            <w:shd w:val="clear" w:color="auto" w:fill="F2F2F2"/>
          </w:tcPr>
          <w:p w14:paraId="6C4D8259" w14:textId="77777777" w:rsidR="008D2062" w:rsidRPr="008D2062" w:rsidRDefault="008D2062" w:rsidP="00506C8D">
            <w:pPr>
              <w:jc w:val="left"/>
              <w:rPr>
                <w:rFonts w:ascii="Arial" w:eastAsia="Arial" w:hAnsi="Arial" w:cs="Arial"/>
                <w:b w:val="0"/>
                <w:color w:val="000000" w:themeColor="text1"/>
                <w:sz w:val="24"/>
                <w:szCs w:val="24"/>
              </w:rPr>
            </w:pPr>
            <w:r w:rsidRPr="008D2062">
              <w:rPr>
                <w:rFonts w:ascii="Arial" w:eastAsia="Arial" w:hAnsi="Arial" w:cs="Arial"/>
                <w:b w:val="0"/>
                <w:color w:val="000000" w:themeColor="text1"/>
                <w:sz w:val="24"/>
                <w:szCs w:val="24"/>
              </w:rPr>
              <w:t>• Specific case studies or example showing</w:t>
            </w:r>
          </w:p>
          <w:p w14:paraId="748E7F26" w14:textId="77777777" w:rsidR="008D2062" w:rsidRPr="008D2062" w:rsidRDefault="008D2062" w:rsidP="008D2062">
            <w:pPr>
              <w:ind w:left="7"/>
              <w:jc w:val="left"/>
              <w:rPr>
                <w:rFonts w:ascii="Arial" w:eastAsia="Arial" w:hAnsi="Arial" w:cs="Arial"/>
                <w:b w:val="0"/>
                <w:color w:val="000000" w:themeColor="text1"/>
                <w:sz w:val="24"/>
                <w:szCs w:val="24"/>
              </w:rPr>
            </w:pPr>
            <w:r w:rsidRPr="008D2062">
              <w:rPr>
                <w:rFonts w:ascii="Arial" w:eastAsia="Arial" w:hAnsi="Arial" w:cs="Arial"/>
                <w:b w:val="0"/>
                <w:color w:val="000000" w:themeColor="text1"/>
                <w:sz w:val="24"/>
                <w:szCs w:val="24"/>
              </w:rPr>
              <w:t>that ‘religious activities’ are motivated by</w:t>
            </w:r>
          </w:p>
          <w:p w14:paraId="19B0C786" w14:textId="77777777" w:rsidR="008D2062" w:rsidRPr="008D2062" w:rsidRDefault="008D2062" w:rsidP="008D2062">
            <w:pPr>
              <w:ind w:left="7"/>
              <w:jc w:val="left"/>
              <w:rPr>
                <w:rFonts w:ascii="Arial" w:eastAsia="Arial" w:hAnsi="Arial" w:cs="Arial"/>
                <w:b w:val="0"/>
                <w:color w:val="000000" w:themeColor="text1"/>
                <w:sz w:val="24"/>
                <w:szCs w:val="24"/>
              </w:rPr>
            </w:pPr>
            <w:r w:rsidRPr="008D2062">
              <w:rPr>
                <w:rFonts w:ascii="Arial" w:eastAsia="Arial" w:hAnsi="Arial" w:cs="Arial"/>
                <w:b w:val="0"/>
                <w:color w:val="000000" w:themeColor="text1"/>
                <w:sz w:val="24"/>
                <w:szCs w:val="24"/>
              </w:rPr>
              <w:t>the seeking of practical gain, not supported</w:t>
            </w:r>
          </w:p>
          <w:p w14:paraId="4CA8C835" w14:textId="6ADAE530" w:rsidR="008D2062" w:rsidRPr="008D2062" w:rsidRDefault="008D2062" w:rsidP="008D2062">
            <w:pPr>
              <w:ind w:left="7"/>
              <w:jc w:val="left"/>
              <w:rPr>
                <w:rFonts w:ascii="Arial" w:eastAsia="Arial" w:hAnsi="Arial" w:cs="Arial"/>
                <w:b w:val="0"/>
                <w:color w:val="000000" w:themeColor="text1"/>
                <w:sz w:val="24"/>
                <w:szCs w:val="24"/>
              </w:rPr>
            </w:pPr>
            <w:r w:rsidRPr="008D2062">
              <w:rPr>
                <w:rFonts w:ascii="Arial" w:eastAsia="Arial" w:hAnsi="Arial" w:cs="Arial"/>
                <w:b w:val="0"/>
                <w:color w:val="000000" w:themeColor="text1"/>
                <w:sz w:val="24"/>
                <w:szCs w:val="24"/>
              </w:rPr>
              <w:t>by true or pre-existing faith.</w:t>
            </w:r>
            <w:r w:rsidRPr="008D2062">
              <w:rPr>
                <w:rFonts w:ascii="Arial" w:eastAsia="Arial" w:hAnsi="Arial" w:cs="Arial"/>
                <w:b w:val="0"/>
                <w:color w:val="000000" w:themeColor="text1"/>
                <w:sz w:val="24"/>
                <w:szCs w:val="24"/>
              </w:rPr>
              <w:cr/>
            </w:r>
          </w:p>
          <w:p w14:paraId="7FB2260E" w14:textId="7BECB0FE" w:rsidR="001E0C45" w:rsidRPr="008D2062" w:rsidRDefault="001E0C45">
            <w:pPr>
              <w:ind w:left="7"/>
              <w:jc w:val="left"/>
              <w:rPr>
                <w:rFonts w:ascii="Arial" w:eastAsia="Arial" w:hAnsi="Arial" w:cs="Arial"/>
                <w:b w:val="0"/>
                <w:color w:val="000000" w:themeColor="text1"/>
                <w:sz w:val="24"/>
                <w:szCs w:val="24"/>
              </w:rPr>
            </w:pPr>
          </w:p>
        </w:tc>
        <w:tc>
          <w:tcPr>
            <w:tcW w:w="5321" w:type="dxa"/>
            <w:tcBorders>
              <w:top w:val="single" w:sz="24" w:space="0" w:color="8100A2"/>
              <w:left w:val="single" w:sz="24" w:space="0" w:color="8100A2"/>
              <w:bottom w:val="single" w:sz="24" w:space="0" w:color="8100A2"/>
              <w:right w:val="single" w:sz="24" w:space="0" w:color="8100A2"/>
            </w:tcBorders>
            <w:shd w:val="clear" w:color="auto" w:fill="F2F2F2"/>
          </w:tcPr>
          <w:p w14:paraId="1BD3EFB2" w14:textId="6B0EEE12" w:rsidR="008D2062" w:rsidRPr="00506C8D" w:rsidRDefault="008D2062" w:rsidP="00506C8D">
            <w:pPr>
              <w:pStyle w:val="ListParagraph"/>
              <w:numPr>
                <w:ilvl w:val="0"/>
                <w:numId w:val="8"/>
              </w:numPr>
              <w:pBdr>
                <w:top w:val="nil"/>
                <w:left w:val="nil"/>
                <w:bottom w:val="nil"/>
                <w:right w:val="nil"/>
                <w:between w:val="nil"/>
              </w:pBdr>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 xml:space="preserve">Reader, I., &amp; Tanabe, G. (1998). Introduction. In Practically Religious: Worldly Benefits and the Common Religion of Japan (pp. 1-36). Honolulu: University of </w:t>
            </w:r>
            <w:proofErr w:type="spellStart"/>
            <w:r w:rsidRPr="00506C8D">
              <w:rPr>
                <w:rFonts w:ascii="Arial" w:eastAsia="Arial" w:hAnsi="Arial" w:cs="Arial"/>
                <w:b w:val="0"/>
                <w:color w:val="000000" w:themeColor="text1"/>
                <w:sz w:val="24"/>
                <w:szCs w:val="24"/>
              </w:rPr>
              <w:t>Hawai</w:t>
            </w:r>
            <w:r w:rsidR="00506C8D">
              <w:rPr>
                <w:rFonts w:ascii="Arial" w:eastAsia="Arial" w:hAnsi="Arial" w:cs="Arial"/>
                <w:b w:val="0"/>
                <w:color w:val="000000" w:themeColor="text1"/>
                <w:sz w:val="24"/>
                <w:szCs w:val="24"/>
              </w:rPr>
              <w:t>’I</w:t>
            </w:r>
            <w:proofErr w:type="spellEnd"/>
            <w:r w:rsidRPr="00506C8D">
              <w:rPr>
                <w:rFonts w:ascii="Arial" w:eastAsia="Arial" w:hAnsi="Arial" w:cs="Arial"/>
                <w:b w:val="0"/>
                <w:color w:val="000000" w:themeColor="text1"/>
                <w:sz w:val="24"/>
                <w:szCs w:val="24"/>
              </w:rPr>
              <w:t xml:space="preserve"> Press. Retrieved March 23, 2020, from </w:t>
            </w:r>
            <w:hyperlink r:id="rId6" w:history="1">
              <w:r w:rsidRPr="00506C8D">
                <w:rPr>
                  <w:rStyle w:val="Hyperlink"/>
                  <w:rFonts w:ascii="Arial" w:eastAsia="Arial" w:hAnsi="Arial" w:cs="Arial"/>
                  <w:b w:val="0"/>
                  <w:sz w:val="24"/>
                  <w:szCs w:val="24"/>
                </w:rPr>
                <w:t>www.jstor.org/stable/j.ctt6wr40r.4</w:t>
              </w:r>
            </w:hyperlink>
          </w:p>
          <w:p w14:paraId="1EF0EE5B" w14:textId="77777777" w:rsidR="00506C8D" w:rsidRDefault="00506C8D" w:rsidP="00506C8D">
            <w:pPr>
              <w:pBdr>
                <w:top w:val="nil"/>
                <w:left w:val="nil"/>
                <w:bottom w:val="nil"/>
                <w:right w:val="nil"/>
                <w:between w:val="nil"/>
              </w:pBdr>
              <w:jc w:val="left"/>
              <w:rPr>
                <w:rFonts w:ascii="Arial" w:eastAsia="Arial" w:hAnsi="Arial" w:cs="Arial"/>
                <w:b w:val="0"/>
                <w:color w:val="000000" w:themeColor="text1"/>
                <w:sz w:val="24"/>
                <w:szCs w:val="24"/>
              </w:rPr>
            </w:pPr>
          </w:p>
          <w:p w14:paraId="72A0D461" w14:textId="608FB281" w:rsidR="008D2062" w:rsidRPr="00506C8D" w:rsidRDefault="008D2062" w:rsidP="00506C8D">
            <w:pPr>
              <w:pStyle w:val="ListParagraph"/>
              <w:numPr>
                <w:ilvl w:val="0"/>
                <w:numId w:val="8"/>
              </w:numPr>
              <w:pBdr>
                <w:top w:val="nil"/>
                <w:left w:val="nil"/>
                <w:bottom w:val="nil"/>
                <w:right w:val="nil"/>
                <w:between w:val="nil"/>
              </w:pBdr>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Case study of Michiko Watanabe, an office lady who attended a new religion a friend had said had brought her practical benefits in the past and prayed to be kept on at her job past 30, when women are usually pressured to retire to get married.</w:t>
            </w:r>
          </w:p>
          <w:p w14:paraId="33EE6823" w14:textId="77777777" w:rsidR="00506C8D" w:rsidRDefault="00506C8D" w:rsidP="00506C8D">
            <w:pPr>
              <w:pStyle w:val="ListParagraph"/>
              <w:rPr>
                <w:rFonts w:ascii="Arial" w:eastAsia="Arial" w:hAnsi="Arial" w:cs="Arial"/>
                <w:b w:val="0"/>
                <w:color w:val="000000" w:themeColor="text1"/>
                <w:sz w:val="24"/>
                <w:szCs w:val="24"/>
              </w:rPr>
            </w:pPr>
          </w:p>
          <w:p w14:paraId="619E4420" w14:textId="5AD0D79D" w:rsidR="008D2062" w:rsidRPr="00506C8D" w:rsidRDefault="008D2062" w:rsidP="00506C8D">
            <w:pPr>
              <w:pStyle w:val="ListParagraph"/>
              <w:numPr>
                <w:ilvl w:val="0"/>
                <w:numId w:val="8"/>
              </w:numPr>
              <w:pBdr>
                <w:top w:val="nil"/>
                <w:left w:val="nil"/>
                <w:bottom w:val="nil"/>
                <w:right w:val="nil"/>
                <w:between w:val="nil"/>
              </w:pBdr>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 xml:space="preserve">Watanabe was asked to stay at her job, </w:t>
            </w:r>
            <w:proofErr w:type="spellStart"/>
            <w:r w:rsidRPr="00506C8D">
              <w:rPr>
                <w:rFonts w:ascii="Arial" w:eastAsia="Arial" w:hAnsi="Arial" w:cs="Arial"/>
                <w:b w:val="0"/>
                <w:color w:val="000000" w:themeColor="text1"/>
                <w:sz w:val="24"/>
                <w:szCs w:val="24"/>
              </w:rPr>
              <w:t>soshe</w:t>
            </w:r>
            <w:proofErr w:type="spellEnd"/>
            <w:r w:rsidRPr="00506C8D">
              <w:rPr>
                <w:rFonts w:ascii="Arial" w:eastAsia="Arial" w:hAnsi="Arial" w:cs="Arial"/>
                <w:b w:val="0"/>
                <w:color w:val="000000" w:themeColor="text1"/>
                <w:sz w:val="24"/>
                <w:szCs w:val="24"/>
              </w:rPr>
              <w:t xml:space="preserve"> decided her prayers had worked, and</w:t>
            </w:r>
            <w:r w:rsidR="00506C8D" w:rsidRP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therefore the religion was powerful, and</w:t>
            </w:r>
            <w:r w:rsidR="00506C8D" w:rsidRP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encouraged friends and relatives to join too.</w:t>
            </w:r>
          </w:p>
          <w:p w14:paraId="5C88DC41" w14:textId="77777777" w:rsidR="008D2062" w:rsidRPr="008D2062" w:rsidRDefault="008D2062" w:rsidP="008D2062">
            <w:pPr>
              <w:pBdr>
                <w:top w:val="nil"/>
                <w:left w:val="nil"/>
                <w:bottom w:val="nil"/>
                <w:right w:val="nil"/>
                <w:between w:val="nil"/>
              </w:pBdr>
              <w:jc w:val="left"/>
              <w:rPr>
                <w:rFonts w:ascii="Arial" w:eastAsia="Arial" w:hAnsi="Arial" w:cs="Arial"/>
                <w:b w:val="0"/>
                <w:color w:val="000000" w:themeColor="text1"/>
                <w:sz w:val="24"/>
                <w:szCs w:val="24"/>
              </w:rPr>
            </w:pPr>
          </w:p>
          <w:p w14:paraId="05091736" w14:textId="521D5381" w:rsidR="001E0C45" w:rsidRPr="00506C8D" w:rsidRDefault="008D2062" w:rsidP="008D2062">
            <w:pPr>
              <w:pStyle w:val="ListParagraph"/>
              <w:numPr>
                <w:ilvl w:val="0"/>
                <w:numId w:val="8"/>
              </w:numPr>
              <w:pBdr>
                <w:top w:val="nil"/>
                <w:left w:val="nil"/>
                <w:bottom w:val="nil"/>
                <w:right w:val="nil"/>
                <w:between w:val="nil"/>
              </w:pBdr>
              <w:jc w:val="left"/>
              <w:rPr>
                <w:rFonts w:ascii="Arial" w:eastAsia="Arial" w:hAnsi="Arial" w:cs="Arial"/>
                <w:b w:val="0"/>
                <w:color w:val="000000" w:themeColor="text1"/>
                <w:sz w:val="24"/>
                <w:szCs w:val="24"/>
              </w:rPr>
            </w:pPr>
            <w:r w:rsidRPr="00506C8D">
              <w:rPr>
                <w:rFonts w:ascii="Arial" w:eastAsia="Arial" w:hAnsi="Arial" w:cs="Arial"/>
                <w:b w:val="0"/>
                <w:color w:val="000000" w:themeColor="text1"/>
                <w:sz w:val="24"/>
                <w:szCs w:val="24"/>
              </w:rPr>
              <w:t>Analysis: W joined because of practical</w:t>
            </w:r>
            <w:r w:rsid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reasons, not pre-existing religious belief.</w:t>
            </w:r>
            <w:r w:rsid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When her wish came true, she decided a</w:t>
            </w:r>
            <w:r w:rsid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prayer had been granted and became a</w:t>
            </w:r>
            <w:r w:rsid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believer and proselytiser. This supports the</w:t>
            </w:r>
            <w:r w:rsid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argument that religious activity is practically</w:t>
            </w:r>
            <w:r w:rsidR="00506C8D">
              <w:rPr>
                <w:rFonts w:ascii="Arial" w:eastAsia="Arial" w:hAnsi="Arial" w:cs="Arial"/>
                <w:b w:val="0"/>
                <w:color w:val="000000" w:themeColor="text1"/>
                <w:sz w:val="24"/>
                <w:szCs w:val="24"/>
              </w:rPr>
              <w:t xml:space="preserve"> </w:t>
            </w:r>
            <w:r w:rsidRPr="00506C8D">
              <w:rPr>
                <w:rFonts w:ascii="Arial" w:eastAsia="Arial" w:hAnsi="Arial" w:cs="Arial"/>
                <w:b w:val="0"/>
                <w:color w:val="000000" w:themeColor="text1"/>
                <w:sz w:val="24"/>
                <w:szCs w:val="24"/>
              </w:rPr>
              <w:t>motivated.</w:t>
            </w:r>
          </w:p>
        </w:tc>
      </w:tr>
    </w:tbl>
    <w:p w14:paraId="5D483C96" w14:textId="77777777" w:rsidR="001E0C45" w:rsidRPr="008D2062" w:rsidRDefault="001E0C45" w:rsidP="001A602D">
      <w:pPr>
        <w:jc w:val="left"/>
        <w:rPr>
          <w:color w:val="000000" w:themeColor="text1"/>
        </w:rPr>
      </w:pPr>
    </w:p>
    <w:sectPr w:rsidR="001E0C45" w:rsidRPr="008D2062">
      <w:pgSz w:w="16840" w:h="11905"/>
      <w:pgMar w:top="0" w:right="714" w:bottom="95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6F6"/>
    <w:multiLevelType w:val="hybridMultilevel"/>
    <w:tmpl w:val="2D988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B50F8"/>
    <w:multiLevelType w:val="hybridMultilevel"/>
    <w:tmpl w:val="11B82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C0111"/>
    <w:multiLevelType w:val="hybridMultilevel"/>
    <w:tmpl w:val="FDCA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F5B4D"/>
    <w:multiLevelType w:val="hybridMultilevel"/>
    <w:tmpl w:val="AD8EB6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E50D24"/>
    <w:multiLevelType w:val="multilevel"/>
    <w:tmpl w:val="A8DC77D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05962B6"/>
    <w:multiLevelType w:val="hybridMultilevel"/>
    <w:tmpl w:val="60D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C2F2B"/>
    <w:multiLevelType w:val="multilevel"/>
    <w:tmpl w:val="89D2A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2E7672"/>
    <w:multiLevelType w:val="hybridMultilevel"/>
    <w:tmpl w:val="9EDA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204A9"/>
    <w:multiLevelType w:val="hybridMultilevel"/>
    <w:tmpl w:val="2F5AF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8F5E56"/>
    <w:multiLevelType w:val="multilevel"/>
    <w:tmpl w:val="AE7C6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CA2AFF"/>
    <w:multiLevelType w:val="multilevel"/>
    <w:tmpl w:val="45AE9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6"/>
  </w:num>
  <w:num w:numId="4">
    <w:abstractNumId w:val="4"/>
  </w:num>
  <w:num w:numId="5">
    <w:abstractNumId w:val="8"/>
  </w:num>
  <w:num w:numId="6">
    <w:abstractNumId w:val="5"/>
  </w:num>
  <w:num w:numId="7">
    <w:abstractNumId w:val="2"/>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MDIwNDczNjUzNjZV0lEKTi0uzszPAykwrAUAeOzUmywAAAA="/>
  </w:docVars>
  <w:rsids>
    <w:rsidRoot w:val="001E0C45"/>
    <w:rsid w:val="001A602D"/>
    <w:rsid w:val="001C3558"/>
    <w:rsid w:val="001D5633"/>
    <w:rsid w:val="001E0C45"/>
    <w:rsid w:val="002152FC"/>
    <w:rsid w:val="00506C8D"/>
    <w:rsid w:val="008D2062"/>
    <w:rsid w:val="00C9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5AB"/>
  <w15:docId w15:val="{753C7E51-8693-4943-B56C-06AF3DD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b/>
        <w:color w:val="7030A0"/>
        <w:sz w:val="40"/>
        <w:szCs w:val="40"/>
        <w:lang w:val="en-GB" w:eastAsia="en-GB"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587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75" w:type="dxa"/>
        <w:left w:w="103" w:type="dxa"/>
        <w:right w:w="94" w:type="dxa"/>
      </w:tblCellMar>
    </w:tblPr>
  </w:style>
  <w:style w:type="character" w:styleId="Hyperlink">
    <w:name w:val="Hyperlink"/>
    <w:basedOn w:val="DefaultParagraphFont"/>
    <w:uiPriority w:val="99"/>
    <w:unhideWhenUsed/>
    <w:rsid w:val="008D2062"/>
    <w:rPr>
      <w:color w:val="0563C1" w:themeColor="hyperlink"/>
      <w:u w:val="single"/>
    </w:rPr>
  </w:style>
  <w:style w:type="character" w:styleId="UnresolvedMention">
    <w:name w:val="Unresolved Mention"/>
    <w:basedOn w:val="DefaultParagraphFont"/>
    <w:uiPriority w:val="99"/>
    <w:semiHidden/>
    <w:unhideWhenUsed/>
    <w:rsid w:val="008D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tor.org/stable/j.ctt6wr40r.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qY2/dLqVSp6S5T+6LcuapNuFA==">AMUW2mVRyUHiP2djK9jRZ2k18PQ29xsrUnyaA2FsSxvJbzNf1hkjl0mj5VENEb0H9db1jQynmzY9xN2RZnhjRysugGPK2dchVZnt3A1MUOwXcrK6KLX7W2OKaEC8kNEx9NoLNskmL4Nq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Suzuki</dc:creator>
  <cp:lastModifiedBy>Emma Pearson</cp:lastModifiedBy>
  <cp:revision>2</cp:revision>
  <cp:lastPrinted>2020-12-15T10:59:00Z</cp:lastPrinted>
  <dcterms:created xsi:type="dcterms:W3CDTF">2020-12-16T14:36:00Z</dcterms:created>
  <dcterms:modified xsi:type="dcterms:W3CDTF">2020-12-16T14:36:00Z</dcterms:modified>
</cp:coreProperties>
</file>